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7DE5C" w14:textId="77777777" w:rsidR="001D2FCE" w:rsidRDefault="005F2692">
      <w:pPr>
        <w:keepNext/>
        <w:tabs>
          <w:tab w:val="left" w:pos="709"/>
        </w:tabs>
        <w:jc w:val="both"/>
      </w:pPr>
      <w:r>
        <w:rPr>
          <w:b/>
          <w:bCs/>
          <w:color w:val="333333"/>
        </w:rPr>
        <w:t>Parametry tekstu:</w:t>
      </w:r>
    </w:p>
    <w:p w14:paraId="5167DE5D" w14:textId="77777777" w:rsidR="001D2FCE" w:rsidRDefault="005F2692">
      <w:pPr>
        <w:numPr>
          <w:ilvl w:val="0"/>
          <w:numId w:val="1"/>
        </w:numPr>
        <w:spacing w:after="60"/>
        <w:ind w:left="1064"/>
        <w:jc w:val="both"/>
      </w:pPr>
      <w:r>
        <w:rPr>
          <w:color w:val="333333"/>
        </w:rPr>
        <w:t>odstęp między wierszami – 1,5,</w:t>
      </w:r>
    </w:p>
    <w:p w14:paraId="5167DE5E" w14:textId="77777777" w:rsidR="001D2FCE" w:rsidRDefault="005F2692">
      <w:pPr>
        <w:numPr>
          <w:ilvl w:val="0"/>
          <w:numId w:val="1"/>
        </w:numPr>
        <w:spacing w:after="60"/>
        <w:ind w:left="1064"/>
        <w:jc w:val="both"/>
      </w:pPr>
      <w:r>
        <w:rPr>
          <w:color w:val="333333"/>
        </w:rPr>
        <w:t>lewy i prawy margines – 2,5 cm,</w:t>
      </w:r>
    </w:p>
    <w:p w14:paraId="5167DE5F" w14:textId="77777777" w:rsidR="001D2FCE" w:rsidRDefault="005F2692">
      <w:pPr>
        <w:numPr>
          <w:ilvl w:val="0"/>
          <w:numId w:val="1"/>
        </w:numPr>
        <w:spacing w:after="360"/>
        <w:ind w:left="1064"/>
        <w:jc w:val="both"/>
      </w:pPr>
      <w:r>
        <w:rPr>
          <w:color w:val="333333"/>
        </w:rPr>
        <w:t>w całej pracy obowiązuje standardowa wielkość czcionki – 12 pkt (można używać pogrubionych liter i kursywy, nie stosować podkreśleń i wersalików).</w:t>
      </w:r>
    </w:p>
    <w:p w14:paraId="5167DE60" w14:textId="77777777" w:rsidR="001D2FCE" w:rsidRDefault="005F2692">
      <w:pPr>
        <w:numPr>
          <w:ilvl w:val="0"/>
          <w:numId w:val="1"/>
        </w:numPr>
        <w:jc w:val="both"/>
      </w:pPr>
      <w:r>
        <w:t>Umieszczone w pracy rysunki, wykresy, schematy Autor powinien dostarczyć w formie źródłowych plików (np. XLSX, JPG, TIF, CDR, ew. PDF) z możliwością edytowania; zdjęcia – JPG, TIF.</w:t>
      </w:r>
    </w:p>
    <w:p w14:paraId="5167DE61" w14:textId="77777777" w:rsidR="001D2FCE" w:rsidRDefault="005F2692">
      <w:pPr>
        <w:tabs>
          <w:tab w:val="left" w:pos="709"/>
        </w:tabs>
        <w:spacing w:before="240"/>
        <w:ind w:left="708" w:firstLine="1"/>
        <w:jc w:val="both"/>
      </w:pPr>
      <w:r>
        <w:t>Zawarte w pracy równania powinny być wykonane za pomocą oprogramowania MathType i pozostawione w pracy w wersji edytowalnej.</w:t>
      </w:r>
    </w:p>
    <w:p w14:paraId="5167DE62" w14:textId="77777777" w:rsidR="001D2FCE" w:rsidRDefault="005F2692">
      <w:pPr>
        <w:tabs>
          <w:tab w:val="left" w:pos="709"/>
        </w:tabs>
        <w:ind w:left="708" w:firstLine="1"/>
        <w:jc w:val="both"/>
      </w:pPr>
      <w:r>
        <w:t xml:space="preserve">Zapisywanie wzorów: tekst główny – 11 pkt, maks. szerokość wzoru – 120 mm. </w:t>
      </w:r>
    </w:p>
    <w:p w14:paraId="5167DE63" w14:textId="77777777" w:rsidR="001D2FCE" w:rsidRDefault="005F2692">
      <w:pPr>
        <w:tabs>
          <w:tab w:val="left" w:pos="709"/>
        </w:tabs>
        <w:spacing w:before="240" w:after="240"/>
        <w:ind w:left="709"/>
        <w:jc w:val="both"/>
      </w:pPr>
      <w:r>
        <w:rPr>
          <w:shd w:val="clear" w:color="auto" w:fill="00FFFF"/>
        </w:rPr>
        <w:t xml:space="preserve">LINKI do plików (parametry zapisu wzorów w programie </w:t>
      </w:r>
      <w:r>
        <w:rPr>
          <w:color w:val="FF0000"/>
          <w:shd w:val="clear" w:color="auto" w:fill="00FFFF"/>
        </w:rPr>
        <w:t xml:space="preserve">MathType – szablon </w:t>
      </w:r>
      <w:r>
        <w:rPr>
          <w:color w:val="FF0000"/>
          <w:shd w:val="clear" w:color="auto" w:fill="00FFFF"/>
        </w:rPr>
        <w:br/>
        <w:t>[TNR-11.egp]</w:t>
      </w:r>
      <w:r>
        <w:rPr>
          <w:shd w:val="clear" w:color="auto" w:fill="00FFFF"/>
        </w:rPr>
        <w:t xml:space="preserve">, font: Times New Roman, 11 pkt – dla tekstu podstawowego  i </w:t>
      </w:r>
      <w:r>
        <w:rPr>
          <w:color w:val="FF0000"/>
          <w:shd w:val="clear" w:color="auto" w:fill="00FFFF"/>
        </w:rPr>
        <w:t>[TNR-9_Tabele.eqp]</w:t>
      </w:r>
      <w:r>
        <w:rPr>
          <w:shd w:val="clear" w:color="auto" w:fill="00FFFF"/>
        </w:rPr>
        <w:t xml:space="preserve"> – 9 pkt dla wzorów w tabelach i przypisach)</w:t>
      </w:r>
      <w:r>
        <w:t>.</w:t>
      </w:r>
    </w:p>
    <w:p w14:paraId="5167DE64" w14:textId="77777777" w:rsidR="001D2FCE" w:rsidRDefault="005F2692">
      <w:pPr>
        <w:numPr>
          <w:ilvl w:val="0"/>
          <w:numId w:val="2"/>
        </w:numPr>
        <w:spacing w:after="360"/>
        <w:jc w:val="both"/>
      </w:pPr>
      <w:r>
        <w:t>W całej pracy wzory i oznaczenia należy konsekwentnie zapisywać czcionką prostą lub kursywą.</w:t>
      </w:r>
    </w:p>
    <w:p w14:paraId="5167DE65" w14:textId="77777777" w:rsidR="001D2FCE" w:rsidRDefault="005F2692">
      <w:pPr>
        <w:numPr>
          <w:ilvl w:val="0"/>
          <w:numId w:val="2"/>
        </w:numPr>
        <w:spacing w:after="120"/>
        <w:jc w:val="both"/>
      </w:pPr>
      <w:r>
        <w:t>Tabele, rysunki, wykresy, schematy (maks. szerokość – 125 mm, maks. wysokość – 170 mm).</w:t>
      </w:r>
    </w:p>
    <w:p w14:paraId="5167DE66" w14:textId="77777777" w:rsidR="001D2FCE" w:rsidRDefault="005F2692">
      <w:pPr>
        <w:numPr>
          <w:ilvl w:val="0"/>
          <w:numId w:val="2"/>
        </w:numPr>
        <w:spacing w:after="120"/>
        <w:jc w:val="both"/>
      </w:pPr>
      <w:r>
        <w:t>Zdjęcia – rozdzielczość 300 dpi (dla wielkości obrazu w pracy w skali 1 : 1), w formacie *.TIF, *.JPG, *.PDF (maks. szerokość – 125 mm, maks. wysokość – 170 mm).</w:t>
      </w:r>
    </w:p>
    <w:p w14:paraId="5167DE67" w14:textId="77777777" w:rsidR="001D2FCE" w:rsidRDefault="005F2692">
      <w:pPr>
        <w:spacing w:after="120"/>
        <w:ind w:left="708" w:firstLine="1"/>
        <w:jc w:val="both"/>
      </w:pPr>
      <w:r>
        <w:t xml:space="preserve">Skanowane rysunki, schematy – czarno-białe lub w skali szarości, rozdzielczość 300 dpi, w formacie *.TIF lub </w:t>
      </w:r>
      <w:r>
        <w:rPr>
          <w:color w:val="000000"/>
        </w:rPr>
        <w:t>*.JPG.</w:t>
      </w:r>
    </w:p>
    <w:p w14:paraId="5167DE68" w14:textId="77777777" w:rsidR="001D2FCE" w:rsidRDefault="005F2692">
      <w:pPr>
        <w:ind w:left="708" w:firstLine="1"/>
        <w:jc w:val="both"/>
      </w:pPr>
      <w:r>
        <w:t>Nie należy zamieszczać ilustracji, schematów skopiowanych z internetu (ich rozdzielczość nie spełnia wymagań niezbędnych do druku).</w:t>
      </w:r>
    </w:p>
    <w:p w14:paraId="5167DE69" w14:textId="77777777" w:rsidR="001D2FCE" w:rsidRDefault="001D2FCE">
      <w:pPr>
        <w:tabs>
          <w:tab w:val="left" w:pos="709"/>
        </w:tabs>
        <w:ind w:left="708" w:hanging="360"/>
        <w:jc w:val="both"/>
      </w:pPr>
    </w:p>
    <w:p w14:paraId="5167DE6A" w14:textId="77777777" w:rsidR="001D2FCE" w:rsidRPr="0041306C" w:rsidRDefault="005F2692">
      <w:pPr>
        <w:spacing w:after="120"/>
        <w:jc w:val="both"/>
      </w:pPr>
      <w:r>
        <w:rPr>
          <w:b/>
          <w:bCs/>
          <w:color w:val="333333"/>
        </w:rPr>
        <w:t xml:space="preserve">Zapis </w:t>
      </w:r>
      <w:r w:rsidRPr="0041306C">
        <w:rPr>
          <w:b/>
          <w:bCs/>
        </w:rPr>
        <w:t>przypisów literaturowych powinien być ujednolicony wg poniższego schematu:</w:t>
      </w:r>
    </w:p>
    <w:p w14:paraId="5167DE6B" w14:textId="77777777" w:rsidR="001D2FCE" w:rsidRPr="0041306C" w:rsidRDefault="005F2692">
      <w:pPr>
        <w:numPr>
          <w:ilvl w:val="0"/>
          <w:numId w:val="3"/>
        </w:numPr>
        <w:spacing w:after="60"/>
        <w:ind w:left="1022" w:hanging="294"/>
        <w:jc w:val="both"/>
      </w:pPr>
      <w:r w:rsidRPr="0041306C">
        <w:t>monografia – autor, tytuł (kursywa), wydawnictwo, miejsce wydania rok:</w:t>
      </w:r>
    </w:p>
    <w:p w14:paraId="5167DE6C" w14:textId="77777777" w:rsidR="001D2FCE" w:rsidRPr="0041306C" w:rsidRDefault="005F2692">
      <w:pPr>
        <w:spacing w:before="120" w:after="240"/>
        <w:ind w:left="1022" w:hanging="14"/>
        <w:jc w:val="both"/>
      </w:pPr>
      <w:r w:rsidRPr="0041306C">
        <w:t xml:space="preserve">C. Nowak, </w:t>
      </w:r>
      <w:r w:rsidRPr="0041306C">
        <w:rPr>
          <w:i/>
        </w:rPr>
        <w:t>Igrzyska olimpijskie w Atenach</w:t>
      </w:r>
      <w:r w:rsidRPr="0041306C">
        <w:t>, Znak, Kraków 2012.</w:t>
      </w:r>
    </w:p>
    <w:p w14:paraId="5167DE6D" w14:textId="77777777" w:rsidR="001D2FCE" w:rsidRPr="0041306C" w:rsidRDefault="005F2692">
      <w:pPr>
        <w:keepNext/>
        <w:numPr>
          <w:ilvl w:val="0"/>
          <w:numId w:val="3"/>
        </w:numPr>
        <w:spacing w:after="60"/>
        <w:ind w:left="1021" w:hanging="295"/>
        <w:jc w:val="both"/>
      </w:pPr>
      <w:r w:rsidRPr="0041306C">
        <w:t>rozdział w pracy zbiorowej – autor, tytuł (kursywa), w: tytuł, red. …, wydawnictwo, miejsce wydania rok, zakres stron rozdziału:</w:t>
      </w:r>
    </w:p>
    <w:p w14:paraId="5167DE6E" w14:textId="77777777" w:rsidR="001D2FCE" w:rsidRPr="0041306C" w:rsidRDefault="005F2692">
      <w:pPr>
        <w:spacing w:before="120" w:after="240"/>
        <w:ind w:left="1036"/>
        <w:jc w:val="both"/>
      </w:pPr>
      <w:r w:rsidRPr="0041306C">
        <w:t xml:space="preserve">I. Ogiewicz, </w:t>
      </w:r>
      <w:r w:rsidRPr="0041306C">
        <w:rPr>
          <w:i/>
        </w:rPr>
        <w:t>Kajakarstwo</w:t>
      </w:r>
      <w:r w:rsidRPr="0041306C">
        <w:t xml:space="preserve">, w: </w:t>
      </w:r>
      <w:r w:rsidRPr="0041306C">
        <w:rPr>
          <w:i/>
        </w:rPr>
        <w:t>Wodne dyscypliny sportowe</w:t>
      </w:r>
      <w:r w:rsidRPr="0041306C">
        <w:t>, red. (nie: pod red.) C. Nowak, Universitas, Kraków 2001, s. 120–135.</w:t>
      </w:r>
    </w:p>
    <w:p w14:paraId="5167DE6F" w14:textId="77777777" w:rsidR="001D2FCE" w:rsidRPr="0041306C" w:rsidRDefault="005F2692">
      <w:pPr>
        <w:numPr>
          <w:ilvl w:val="0"/>
          <w:numId w:val="3"/>
        </w:numPr>
        <w:spacing w:after="60"/>
        <w:ind w:left="1022" w:hanging="294"/>
        <w:jc w:val="both"/>
      </w:pPr>
      <w:r w:rsidRPr="0041306C">
        <w:t>prace pod redakcją (rozpoczynamy od tytułu):</w:t>
      </w:r>
    </w:p>
    <w:p w14:paraId="5167DE70" w14:textId="77777777" w:rsidR="001D2FCE" w:rsidRPr="0041306C" w:rsidRDefault="005F2692">
      <w:pPr>
        <w:spacing w:before="120" w:after="240"/>
        <w:ind w:left="1050"/>
        <w:jc w:val="both"/>
      </w:pPr>
      <w:r w:rsidRPr="0041306C">
        <w:rPr>
          <w:i/>
        </w:rPr>
        <w:t>Olimpijczycy Pomorza Zachodniego</w:t>
      </w:r>
      <w:r w:rsidRPr="0041306C">
        <w:t>, red. J. Eider, H. Laskiewicz, Wydawnictwo Naukowe Uniwersytetu Szczecińskiego, Szczecin 2003.</w:t>
      </w:r>
    </w:p>
    <w:p w14:paraId="5167DE71" w14:textId="77777777" w:rsidR="001D2FCE" w:rsidRPr="0041306C" w:rsidRDefault="005F2692">
      <w:pPr>
        <w:numPr>
          <w:ilvl w:val="0"/>
          <w:numId w:val="3"/>
        </w:numPr>
        <w:spacing w:after="60"/>
        <w:ind w:left="1022" w:hanging="294"/>
        <w:jc w:val="both"/>
      </w:pPr>
      <w:r w:rsidRPr="0041306C">
        <w:t>artykułu w czasopiśmie – autor, tytuł, w cudzysłowie tytuł czasopisma, rok, numer, zakres stron artykułu:</w:t>
      </w:r>
    </w:p>
    <w:p w14:paraId="5167DE72" w14:textId="77777777" w:rsidR="001D2FCE" w:rsidRPr="0041306C" w:rsidRDefault="005F2692">
      <w:pPr>
        <w:spacing w:before="120" w:after="240"/>
        <w:ind w:left="1022"/>
        <w:jc w:val="both"/>
      </w:pPr>
      <w:r w:rsidRPr="0041306C">
        <w:t xml:space="preserve">Z. Zawiało, </w:t>
      </w:r>
      <w:r w:rsidRPr="0041306C">
        <w:rPr>
          <w:i/>
        </w:rPr>
        <w:t>Polska na tle krajów europejskich</w:t>
      </w:r>
      <w:r w:rsidRPr="0041306C">
        <w:t>, „Przegląd Sportowy” 2007, nr 3, s. 12–21.</w:t>
      </w:r>
    </w:p>
    <w:p w14:paraId="5167DE73" w14:textId="77777777" w:rsidR="001D2FCE" w:rsidRPr="0041306C" w:rsidRDefault="005F2692">
      <w:pPr>
        <w:spacing w:after="240"/>
        <w:ind w:left="993"/>
        <w:jc w:val="both"/>
      </w:pPr>
      <w:r w:rsidRPr="0041306C">
        <w:lastRenderedPageBreak/>
        <w:t>Jeśli artykuł ma numer DOI (Digital Object Identifier), należy podać go na końcu zapisu bibliograficznego.</w:t>
      </w:r>
    </w:p>
    <w:p w14:paraId="5167DE74" w14:textId="77777777" w:rsidR="001D2FCE" w:rsidRPr="0041306C" w:rsidRDefault="005F2692">
      <w:pPr>
        <w:numPr>
          <w:ilvl w:val="0"/>
          <w:numId w:val="3"/>
        </w:numPr>
        <w:spacing w:after="60"/>
        <w:ind w:left="1022" w:hanging="294"/>
        <w:jc w:val="both"/>
      </w:pPr>
      <w:r w:rsidRPr="0041306C">
        <w:t>źródło internetowe – jeśli dany tekst znajduje się na stronie internetowej i nie jest artykułem w czasopiśmie, książką ani rozdziałem w książce, należy podać autora, datę publikacji (jeśli jest znana), tytuł, a następnie zamieścić informacje o stronie, z jakiej został pobrany ten tekst/informacja, w nawiasie na końcu podajemy datę dostępu do tekstu/informacji:</w:t>
      </w:r>
    </w:p>
    <w:p w14:paraId="5167DE75" w14:textId="77777777" w:rsidR="001D2FCE" w:rsidRPr="0041306C" w:rsidRDefault="005F2692">
      <w:pPr>
        <w:spacing w:before="120" w:after="60"/>
        <w:ind w:left="993"/>
        <w:jc w:val="both"/>
      </w:pPr>
      <w:r w:rsidRPr="0041306C">
        <w:t>X. Nazwisko, Tytuł tekstu, adres strony internetowej (1.01.2017). W nawiasie data dostępu.</w:t>
      </w:r>
    </w:p>
    <w:p w14:paraId="5167DE76" w14:textId="77777777" w:rsidR="001D2FCE" w:rsidRPr="0041306C" w:rsidRDefault="005F2692">
      <w:pPr>
        <w:spacing w:before="120" w:after="360"/>
        <w:ind w:left="993"/>
        <w:jc w:val="both"/>
      </w:pPr>
      <w:r w:rsidRPr="0041306C">
        <w:t>MNiSW, www.mnisw.gov.pl/artykul_13/21 (1.01.2007).</w:t>
      </w:r>
    </w:p>
    <w:p w14:paraId="5167DE77" w14:textId="77777777" w:rsidR="001D2FCE" w:rsidRPr="0041306C" w:rsidRDefault="005F2692">
      <w:pPr>
        <w:numPr>
          <w:ilvl w:val="0"/>
          <w:numId w:val="3"/>
        </w:numPr>
        <w:spacing w:after="60"/>
        <w:ind w:left="1022" w:hanging="294"/>
        <w:jc w:val="both"/>
      </w:pPr>
      <w:r w:rsidRPr="0041306C">
        <w:t>akty prawne:</w:t>
      </w:r>
    </w:p>
    <w:p w14:paraId="5167DE78" w14:textId="77777777" w:rsidR="001D2FCE" w:rsidRPr="0041306C" w:rsidRDefault="005F2692">
      <w:pPr>
        <w:spacing w:before="120" w:after="60"/>
        <w:ind w:left="993"/>
        <w:jc w:val="both"/>
      </w:pPr>
      <w:r w:rsidRPr="0041306C">
        <w:t>Ustawa z 2.10.2004 o podatku dochodowym. Dz.U. 2005, nr 20, poz. 456, z późn. zm.</w:t>
      </w:r>
    </w:p>
    <w:p w14:paraId="5167DE79" w14:textId="77777777" w:rsidR="001D2FCE" w:rsidRPr="0041306C" w:rsidRDefault="005F2692">
      <w:pPr>
        <w:spacing w:before="120" w:after="60"/>
        <w:ind w:left="993"/>
        <w:jc w:val="both"/>
      </w:pPr>
      <w:r w:rsidRPr="0041306C">
        <w:t>Wyrok SN z 7.05.2009. III CSK 315/08. LEX nr 512058.</w:t>
      </w:r>
    </w:p>
    <w:p w14:paraId="5167DE7A" w14:textId="77777777" w:rsidR="001D2FCE" w:rsidRPr="0041306C" w:rsidRDefault="005F2692">
      <w:pPr>
        <w:spacing w:before="120" w:after="360"/>
        <w:ind w:left="993"/>
        <w:jc w:val="both"/>
      </w:pPr>
      <w:r w:rsidRPr="0041306C">
        <w:t>Wyrok SA w Poznaniu z 14.02.2013 r. I ACa 1176/12. Portal Orzeczeń Sądów Powszechnych. Pobrane z: http://orzeczenia.lexvin.pl/orzeczenie/40818/I-ACa-1176-12-wyrok-z-uzasadnieniem-S%C4%85d-Apelacyjny-w-Poznaniu-z-2013-02-14-sady-powszechne (1.04.2014).</w:t>
      </w:r>
    </w:p>
    <w:p w14:paraId="5167DE7B" w14:textId="77777777" w:rsidR="001D2FCE" w:rsidRPr="0041306C" w:rsidRDefault="005F2692">
      <w:pPr>
        <w:spacing w:before="120" w:after="60"/>
        <w:ind w:left="993"/>
        <w:jc w:val="both"/>
      </w:pPr>
      <w:r w:rsidRPr="0041306C">
        <w:t>Jeżeli wyrok/orzeczenie opublikowano w czasopiśmie:</w:t>
      </w:r>
    </w:p>
    <w:p w14:paraId="5167DE7C" w14:textId="77777777" w:rsidR="001D2FCE" w:rsidRPr="0041306C" w:rsidRDefault="005F2692">
      <w:pPr>
        <w:spacing w:before="120" w:after="60"/>
        <w:ind w:left="993"/>
        <w:jc w:val="both"/>
      </w:pPr>
      <w:r w:rsidRPr="0041306C">
        <w:t>Wyrok SA w Poznaniu z 14.02.2013 r. I ACa 1176/12, „Prawo i Prokuratura” 2016. nr 2 (12), s. 3–12.</w:t>
      </w:r>
    </w:p>
    <w:p w14:paraId="5167DE7D" w14:textId="77777777" w:rsidR="001D2FCE" w:rsidRPr="0041306C" w:rsidRDefault="001D2FCE">
      <w:pPr>
        <w:spacing w:before="120" w:after="60"/>
        <w:ind w:left="993"/>
        <w:jc w:val="both"/>
      </w:pPr>
    </w:p>
    <w:p w14:paraId="5167DE7E" w14:textId="77777777" w:rsidR="001D2FCE" w:rsidRPr="0041306C" w:rsidRDefault="005F2692">
      <w:pPr>
        <w:spacing w:after="60"/>
        <w:ind w:left="567"/>
        <w:jc w:val="both"/>
      </w:pPr>
      <w:r w:rsidRPr="0041306C">
        <w:t>Jeżeli publikacja (pozycja w przypisach) była cytowana wcześniej (w danym rozdziale) – należy stosować skrócony opis (nie używać skrótów dz. cyt. lub op. cit.), zwracając szczególną uwagę na to, by był on zapisany za każdym razem w taki sam sposób/w tej samej postaci.</w:t>
      </w:r>
    </w:p>
    <w:p w14:paraId="5167DE7F" w14:textId="77777777" w:rsidR="001D2FCE" w:rsidRPr="0041306C" w:rsidRDefault="005F2692">
      <w:pPr>
        <w:spacing w:before="120" w:after="60"/>
        <w:ind w:left="1008"/>
        <w:jc w:val="both"/>
      </w:pPr>
      <w:r w:rsidRPr="0041306C">
        <w:t xml:space="preserve">E. Bimler-Mackiewicz, </w:t>
      </w:r>
      <w:r w:rsidRPr="0041306C">
        <w:rPr>
          <w:i/>
        </w:rPr>
        <w:t>Treści znaków cechowych – sposoby analizy i interpretacji</w:t>
      </w:r>
      <w:r w:rsidRPr="0041306C">
        <w:t>, w: </w:t>
      </w:r>
      <w:r w:rsidRPr="0041306C">
        <w:rPr>
          <w:i/>
        </w:rPr>
        <w:t>Tekst źródła. Krytyka. Interpretacja</w:t>
      </w:r>
      <w:r w:rsidRPr="0041306C">
        <w:t>, red. B. Trelińska, Warszawa 2005, s. 383.</w:t>
      </w:r>
    </w:p>
    <w:p w14:paraId="5167DE80" w14:textId="77777777" w:rsidR="001D2FCE" w:rsidRPr="0041306C" w:rsidRDefault="005F2692">
      <w:pPr>
        <w:spacing w:before="120" w:after="60"/>
        <w:ind w:left="1008"/>
        <w:jc w:val="both"/>
      </w:pPr>
      <w:r w:rsidRPr="0041306C">
        <w:t xml:space="preserve">E. Bimler-Mackiewicz, </w:t>
      </w:r>
      <w:r w:rsidRPr="0041306C">
        <w:rPr>
          <w:i/>
        </w:rPr>
        <w:t>Treści znaków cechowych</w:t>
      </w:r>
      <w:r w:rsidRPr="0041306C">
        <w:t>…, s. 365.</w:t>
      </w:r>
    </w:p>
    <w:p w14:paraId="5167DE81" w14:textId="77777777" w:rsidR="001D2FCE" w:rsidRPr="0041306C" w:rsidRDefault="005F2692">
      <w:pPr>
        <w:spacing w:before="360" w:after="60"/>
        <w:ind w:left="567"/>
        <w:jc w:val="both"/>
      </w:pPr>
      <w:r w:rsidRPr="0041306C">
        <w:t>Jeżeli do danej książki odwołano się wcześniej – lecz nie w danym rozdziale – należy przywołać pełny opis bibliograficzny.</w:t>
      </w:r>
    </w:p>
    <w:p w14:paraId="5167DE82" w14:textId="77777777" w:rsidR="001D2FCE" w:rsidRDefault="005F2692">
      <w:pPr>
        <w:spacing w:before="360" w:after="60"/>
        <w:ind w:left="567"/>
        <w:jc w:val="both"/>
        <w:rPr>
          <w:color w:val="000000"/>
        </w:rPr>
      </w:pPr>
      <w:r w:rsidRPr="0041306C">
        <w:t>Tradycyjnemu zapisowi przypisów odpowiada bibliografia uporządkowana alfabetycznie (inicja</w:t>
      </w:r>
      <w:bookmarkStart w:id="0" w:name="_GoBack"/>
      <w:bookmarkEnd w:id="0"/>
      <w:r w:rsidRPr="0041306C">
        <w:t>ł imienia po nazwisku</w:t>
      </w:r>
      <w:r>
        <w:rPr>
          <w:color w:val="000000"/>
        </w:rPr>
        <w:t>).</w:t>
      </w:r>
    </w:p>
    <w:sectPr w:rsidR="001D2FCE">
      <w:pgSz w:w="11906" w:h="16838"/>
      <w:pgMar w:top="1134" w:right="1418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46812" w14:textId="77777777" w:rsidR="00F64DBB" w:rsidRDefault="00F64DBB">
      <w:r>
        <w:separator/>
      </w:r>
    </w:p>
  </w:endnote>
  <w:endnote w:type="continuationSeparator" w:id="0">
    <w:p w14:paraId="5CF49AB3" w14:textId="77777777" w:rsidR="00F64DBB" w:rsidRDefault="00F6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1056F" w14:textId="77777777" w:rsidR="00F64DBB" w:rsidRDefault="00F64DBB">
      <w:r>
        <w:rPr>
          <w:color w:val="000000"/>
        </w:rPr>
        <w:separator/>
      </w:r>
    </w:p>
  </w:footnote>
  <w:footnote w:type="continuationSeparator" w:id="0">
    <w:p w14:paraId="58D80228" w14:textId="77777777" w:rsidR="00F64DBB" w:rsidRDefault="00F6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A17C1"/>
    <w:multiLevelType w:val="multilevel"/>
    <w:tmpl w:val="D9F8B4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62F779E"/>
    <w:multiLevelType w:val="multilevel"/>
    <w:tmpl w:val="847862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CCD29F9"/>
    <w:multiLevelType w:val="multilevel"/>
    <w:tmpl w:val="F0A2F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CE"/>
    <w:rsid w:val="001B65D6"/>
    <w:rsid w:val="001D2FCE"/>
    <w:rsid w:val="003A46AE"/>
    <w:rsid w:val="0041306C"/>
    <w:rsid w:val="0049247B"/>
    <w:rsid w:val="00523FED"/>
    <w:rsid w:val="005F2692"/>
    <w:rsid w:val="00820043"/>
    <w:rsid w:val="008B57CD"/>
    <w:rsid w:val="00F6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DE5C"/>
  <w15:docId w15:val="{FCC8CFB0-7A8B-4C39-8E07-94E6F16F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Kordela</dc:creator>
  <dc:description/>
  <cp:lastModifiedBy>Admin</cp:lastModifiedBy>
  <cp:revision>4</cp:revision>
  <dcterms:created xsi:type="dcterms:W3CDTF">2022-11-14T15:42:00Z</dcterms:created>
  <dcterms:modified xsi:type="dcterms:W3CDTF">2022-11-15T06:46:00Z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1a406fb1a1cf4b2597af87c554e13ef09d2922f00c57d093052c0650b2747c6c</vt:lpwstr>
  </property>
</Properties>
</file>